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89D" w:rsidRPr="0090489D" w:rsidRDefault="0090489D" w:rsidP="0090489D">
      <w:pPr>
        <w:pBdr>
          <w:bottom w:val="single" w:sz="8" w:space="4" w:color="4472C4" w:themeColor="accent1"/>
        </w:pBdr>
        <w:spacing w:after="300" w:line="240" w:lineRule="auto"/>
        <w:contextualSpacing/>
        <w:rPr>
          <w:rFonts w:asciiTheme="majorHAnsi" w:eastAsiaTheme="majorEastAsia" w:hAnsiTheme="majorHAnsi" w:cstheme="majorBidi"/>
          <w:color w:val="323E4F" w:themeColor="text2" w:themeShade="BF"/>
          <w:spacing w:val="5"/>
          <w:kern w:val="28"/>
          <w:sz w:val="144"/>
          <w:szCs w:val="144"/>
        </w:rPr>
      </w:pPr>
    </w:p>
    <w:p w:rsidR="0090489D" w:rsidRPr="0090489D" w:rsidRDefault="0090489D" w:rsidP="0090489D">
      <w:pPr>
        <w:pBdr>
          <w:bottom w:val="single" w:sz="8" w:space="4" w:color="4472C4" w:themeColor="accent1"/>
        </w:pBdr>
        <w:spacing w:after="300" w:line="240" w:lineRule="auto"/>
        <w:contextualSpacing/>
        <w:rPr>
          <w:rFonts w:asciiTheme="majorHAnsi" w:eastAsiaTheme="majorEastAsia" w:hAnsiTheme="majorHAnsi" w:cstheme="majorBidi"/>
          <w:color w:val="323E4F" w:themeColor="text2" w:themeShade="BF"/>
          <w:spacing w:val="5"/>
          <w:kern w:val="28"/>
          <w:sz w:val="72"/>
          <w:szCs w:val="144"/>
        </w:rPr>
      </w:pPr>
    </w:p>
    <w:p w:rsidR="0090489D" w:rsidRPr="0090489D" w:rsidRDefault="0090489D" w:rsidP="0090489D">
      <w:pPr>
        <w:pBdr>
          <w:bottom w:val="single" w:sz="8" w:space="4" w:color="4472C4" w:themeColor="accent1"/>
        </w:pBdr>
        <w:spacing w:after="300" w:line="240" w:lineRule="auto"/>
        <w:contextualSpacing/>
        <w:rPr>
          <w:rFonts w:ascii="Cambria" w:eastAsiaTheme="majorEastAsia" w:hAnsi="Cambria" w:cstheme="majorBidi"/>
          <w:color w:val="1F3864" w:themeColor="accent1" w:themeShade="80"/>
          <w:spacing w:val="5"/>
          <w:kern w:val="28"/>
          <w:sz w:val="144"/>
          <w:szCs w:val="144"/>
        </w:rPr>
      </w:pPr>
      <w:r w:rsidRPr="0090489D">
        <w:rPr>
          <w:rFonts w:ascii="Cambria" w:eastAsiaTheme="majorEastAsia" w:hAnsi="Cambria" w:cstheme="majorBidi"/>
          <w:color w:val="1F3864" w:themeColor="accent1" w:themeShade="80"/>
          <w:spacing w:val="5"/>
          <w:kern w:val="28"/>
          <w:sz w:val="144"/>
          <w:szCs w:val="144"/>
        </w:rPr>
        <w:t>STANDARD 4:</w:t>
      </w:r>
    </w:p>
    <w:p w:rsidR="0090489D" w:rsidRPr="0090489D" w:rsidRDefault="0090489D" w:rsidP="0090489D">
      <w:pPr>
        <w:pBdr>
          <w:bottom w:val="single" w:sz="8" w:space="4" w:color="4472C4" w:themeColor="accent1"/>
        </w:pBdr>
        <w:spacing w:after="300" w:line="240" w:lineRule="auto"/>
        <w:contextualSpacing/>
        <w:rPr>
          <w:rFonts w:ascii="Cambria" w:eastAsiaTheme="majorEastAsia" w:hAnsi="Cambria" w:cstheme="majorBidi"/>
          <w:color w:val="1F3864" w:themeColor="accent1" w:themeShade="80"/>
          <w:spacing w:val="5"/>
          <w:kern w:val="28"/>
          <w:sz w:val="96"/>
          <w:szCs w:val="96"/>
        </w:rPr>
      </w:pPr>
      <w:r w:rsidRPr="0090489D">
        <w:rPr>
          <w:rFonts w:ascii="Cambria" w:eastAsiaTheme="majorEastAsia" w:hAnsi="Cambria" w:cstheme="majorBidi"/>
          <w:color w:val="1F3864" w:themeColor="accent1" w:themeShade="80"/>
          <w:spacing w:val="5"/>
          <w:kern w:val="28"/>
          <w:sz w:val="96"/>
          <w:szCs w:val="96"/>
        </w:rPr>
        <w:t>Policy</w:t>
      </w:r>
    </w:p>
    <w:p w:rsidR="0090489D" w:rsidRPr="0090489D" w:rsidRDefault="0090489D" w:rsidP="0090489D">
      <w:pPr>
        <w:spacing w:after="227" w:line="250" w:lineRule="auto"/>
        <w:ind w:left="10" w:right="67"/>
        <w:rPr>
          <w:sz w:val="28"/>
          <w:szCs w:val="28"/>
        </w:rPr>
      </w:pPr>
    </w:p>
    <w:p w:rsidR="0090489D" w:rsidRPr="0090489D" w:rsidRDefault="0090489D" w:rsidP="0090489D">
      <w:pPr>
        <w:spacing w:after="227" w:line="250" w:lineRule="auto"/>
        <w:ind w:left="10" w:right="67"/>
        <w:rPr>
          <w:sz w:val="28"/>
          <w:szCs w:val="28"/>
        </w:rPr>
      </w:pPr>
    </w:p>
    <w:p w:rsidR="0090489D" w:rsidRPr="0090489D" w:rsidRDefault="0090489D" w:rsidP="0090489D">
      <w:pPr>
        <w:spacing w:after="227" w:line="250" w:lineRule="auto"/>
        <w:ind w:left="10" w:right="67"/>
      </w:pPr>
      <w:r w:rsidRPr="0090489D">
        <w:rPr>
          <w:sz w:val="28"/>
          <w:szCs w:val="28"/>
        </w:rPr>
        <w:t>An effective SEN Information Report and Policy provides expectations of and guidance in good practice in relation to its dyslexic pupils. It clarifies and states the school’s ethos, direction and commitment to supporting dyslexic pupils and sets out clearly the standard for any new staff or pupils coming into the school.</w:t>
      </w:r>
    </w:p>
    <w:p w:rsidR="0090489D" w:rsidRPr="0090489D" w:rsidRDefault="0090489D" w:rsidP="0090489D">
      <w:pPr>
        <w:spacing w:after="200" w:line="276" w:lineRule="auto"/>
      </w:pPr>
    </w:p>
    <w:p w:rsidR="0090489D" w:rsidRPr="0090489D" w:rsidRDefault="0090489D" w:rsidP="0090489D">
      <w:pPr>
        <w:spacing w:after="200" w:line="276" w:lineRule="auto"/>
      </w:pPr>
    </w:p>
    <w:p w:rsidR="0090489D" w:rsidRPr="0090489D" w:rsidRDefault="0090489D" w:rsidP="0090489D">
      <w:pPr>
        <w:spacing w:after="200" w:line="276" w:lineRule="auto"/>
      </w:pPr>
    </w:p>
    <w:p w:rsidR="0090489D" w:rsidRPr="0090489D" w:rsidRDefault="0090489D" w:rsidP="0090489D">
      <w:pPr>
        <w:spacing w:after="200" w:line="276" w:lineRule="auto"/>
      </w:pPr>
    </w:p>
    <w:p w:rsidR="0090489D" w:rsidRPr="0090489D" w:rsidRDefault="0090489D" w:rsidP="0090489D">
      <w:pPr>
        <w:spacing w:after="200" w:line="276" w:lineRule="auto"/>
      </w:pPr>
    </w:p>
    <w:p w:rsidR="0090489D" w:rsidRPr="0090489D" w:rsidRDefault="0090489D" w:rsidP="0090489D">
      <w:pPr>
        <w:spacing w:after="200" w:line="276" w:lineRule="auto"/>
      </w:pPr>
    </w:p>
    <w:p w:rsidR="0090489D" w:rsidRPr="0090489D" w:rsidRDefault="0090489D" w:rsidP="0090489D">
      <w:pPr>
        <w:spacing w:after="200" w:line="276" w:lineRule="auto"/>
      </w:pPr>
    </w:p>
    <w:p w:rsidR="0090489D" w:rsidRPr="0090489D" w:rsidRDefault="0090489D" w:rsidP="0090489D">
      <w:pPr>
        <w:spacing w:after="200" w:line="276" w:lineRule="auto"/>
      </w:pPr>
    </w:p>
    <w:p w:rsidR="0090489D" w:rsidRPr="0090489D" w:rsidRDefault="0090489D" w:rsidP="0090489D">
      <w:pPr>
        <w:spacing w:after="200" w:line="276" w:lineRule="auto"/>
        <w:sectPr w:rsidR="0090489D" w:rsidRPr="0090489D" w:rsidSect="007D55EC">
          <w:headerReference w:type="default" r:id="rId6"/>
          <w:footerReference w:type="default" r:id="rId7"/>
          <w:pgSz w:w="11906" w:h="16838"/>
          <w:pgMar w:top="993" w:right="1134" w:bottom="1276" w:left="1134" w:header="170" w:footer="510" w:gutter="0"/>
          <w:pgNumType w:start="0"/>
          <w:cols w:space="708"/>
          <w:docGrid w:linePitch="360"/>
        </w:sectPr>
      </w:pPr>
    </w:p>
    <w:p w:rsidR="0090489D" w:rsidRPr="0090489D" w:rsidRDefault="0090489D" w:rsidP="0090489D">
      <w:pPr>
        <w:widowControl w:val="0"/>
        <w:spacing w:after="0" w:line="276" w:lineRule="auto"/>
        <w:jc w:val="center"/>
        <w:rPr>
          <w:rFonts w:eastAsia="Arial" w:cs="Arial"/>
          <w:b/>
          <w:sz w:val="36"/>
          <w:szCs w:val="36"/>
        </w:rPr>
      </w:pPr>
      <w:r w:rsidRPr="0090489D">
        <w:rPr>
          <w:rFonts w:eastAsia="Arial" w:cs="Arial"/>
          <w:b/>
          <w:sz w:val="36"/>
          <w:szCs w:val="36"/>
        </w:rPr>
        <w:lastRenderedPageBreak/>
        <w:t>Standard 4: Policy</w:t>
      </w:r>
    </w:p>
    <w:p w:rsidR="0090489D" w:rsidRPr="0090489D" w:rsidRDefault="0090489D" w:rsidP="0090489D">
      <w:pPr>
        <w:widowControl w:val="0"/>
        <w:spacing w:after="0" w:line="276" w:lineRule="auto"/>
        <w:jc w:val="center"/>
        <w:rPr>
          <w:rFonts w:ascii="Arial" w:eastAsia="Arial" w:hAnsi="Arial" w:cs="Arial"/>
          <w:sz w:val="32"/>
          <w:szCs w:val="32"/>
        </w:rPr>
      </w:pPr>
    </w:p>
    <w:tbl>
      <w:tblPr>
        <w:tblW w:w="147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3519"/>
        <w:gridCol w:w="4085"/>
        <w:gridCol w:w="984"/>
        <w:gridCol w:w="5487"/>
      </w:tblGrid>
      <w:tr w:rsidR="0090489D" w:rsidRPr="0090489D" w:rsidTr="00F35463">
        <w:trPr>
          <w:trHeight w:val="303"/>
        </w:trPr>
        <w:tc>
          <w:tcPr>
            <w:tcW w:w="4219" w:type="dxa"/>
            <w:gridSpan w:val="2"/>
            <w:vAlign w:val="center"/>
          </w:tcPr>
          <w:p w:rsidR="0090489D" w:rsidRPr="0090489D" w:rsidRDefault="0090489D" w:rsidP="0090489D">
            <w:pPr>
              <w:spacing w:after="0" w:line="276" w:lineRule="auto"/>
              <w:jc w:val="center"/>
              <w:rPr>
                <w:rFonts w:eastAsia="Verdana" w:cs="Verdana"/>
                <w:b/>
                <w:sz w:val="28"/>
                <w:szCs w:val="28"/>
              </w:rPr>
            </w:pPr>
            <w:r w:rsidRPr="0090489D">
              <w:rPr>
                <w:rFonts w:eastAsia="Verdana" w:cs="Verdana"/>
                <w:b/>
                <w:sz w:val="28"/>
                <w:szCs w:val="28"/>
              </w:rPr>
              <w:t>Description of Standard</w:t>
            </w:r>
          </w:p>
        </w:tc>
        <w:tc>
          <w:tcPr>
            <w:tcW w:w="4085" w:type="dxa"/>
            <w:vAlign w:val="center"/>
          </w:tcPr>
          <w:p w:rsidR="0090489D" w:rsidRPr="0090489D" w:rsidRDefault="0090489D" w:rsidP="0090489D">
            <w:pPr>
              <w:keepNext/>
              <w:keepLines/>
              <w:spacing w:before="200" w:after="0" w:line="276" w:lineRule="auto"/>
              <w:outlineLvl w:val="1"/>
              <w:rPr>
                <w:rFonts w:eastAsia="Verdana" w:cs="Verdana"/>
                <w:b/>
                <w:bCs/>
                <w:color w:val="4472C4" w:themeColor="accent1"/>
                <w:sz w:val="28"/>
                <w:szCs w:val="28"/>
              </w:rPr>
            </w:pPr>
            <w:r w:rsidRPr="0090489D">
              <w:rPr>
                <w:rFonts w:eastAsia="Verdana" w:cs="Verdana"/>
                <w:b/>
                <w:bCs/>
                <w:sz w:val="28"/>
                <w:szCs w:val="28"/>
              </w:rPr>
              <w:t>Suggestions for Evidence and Resources</w:t>
            </w:r>
          </w:p>
        </w:tc>
        <w:tc>
          <w:tcPr>
            <w:tcW w:w="984" w:type="dxa"/>
          </w:tcPr>
          <w:p w:rsidR="0090489D" w:rsidRPr="0090489D" w:rsidRDefault="0090489D" w:rsidP="0090489D">
            <w:pPr>
              <w:spacing w:after="0" w:line="240" w:lineRule="auto"/>
              <w:jc w:val="center"/>
              <w:rPr>
                <w:rFonts w:eastAsia="Verdana" w:cs="Verdana"/>
                <w:b/>
                <w:sz w:val="28"/>
                <w:szCs w:val="28"/>
              </w:rPr>
            </w:pPr>
            <w:r w:rsidRPr="0090489D">
              <w:rPr>
                <w:rFonts w:eastAsia="Verdana" w:cs="Verdana"/>
                <w:b/>
                <w:sz w:val="28"/>
                <w:szCs w:val="28"/>
              </w:rPr>
              <w:t xml:space="preserve">Yes </w:t>
            </w:r>
            <w:r w:rsidRPr="0090489D">
              <w:rPr>
                <w:rFonts w:ascii="Wingdings" w:eastAsia="Wingdings" w:hAnsi="Wingdings" w:cs="Wingdings"/>
                <w:b/>
                <w:sz w:val="28"/>
                <w:szCs w:val="28"/>
              </w:rPr>
              <w:t></w:t>
            </w:r>
            <w:r w:rsidRPr="0090489D">
              <w:rPr>
                <w:rFonts w:eastAsia="Verdana" w:cs="Verdana"/>
                <w:b/>
                <w:sz w:val="28"/>
                <w:szCs w:val="28"/>
              </w:rPr>
              <w:t xml:space="preserve"> </w:t>
            </w:r>
          </w:p>
          <w:p w:rsidR="0090489D" w:rsidRPr="0090489D" w:rsidRDefault="0090489D" w:rsidP="0090489D">
            <w:pPr>
              <w:spacing w:after="0" w:line="240" w:lineRule="auto"/>
              <w:jc w:val="center"/>
              <w:rPr>
                <w:rFonts w:eastAsia="Verdana" w:cs="Verdana"/>
                <w:b/>
                <w:sz w:val="28"/>
                <w:szCs w:val="28"/>
              </w:rPr>
            </w:pPr>
            <w:r w:rsidRPr="0090489D">
              <w:rPr>
                <w:rFonts w:eastAsia="Verdana" w:cs="Verdana"/>
                <w:b/>
                <w:sz w:val="28"/>
                <w:szCs w:val="28"/>
              </w:rPr>
              <w:t>Date</w:t>
            </w:r>
          </w:p>
        </w:tc>
        <w:tc>
          <w:tcPr>
            <w:tcW w:w="5487" w:type="dxa"/>
            <w:vAlign w:val="center"/>
          </w:tcPr>
          <w:p w:rsidR="0090489D" w:rsidRPr="0090489D" w:rsidRDefault="0090489D" w:rsidP="0090489D">
            <w:pPr>
              <w:spacing w:after="0" w:line="276" w:lineRule="auto"/>
              <w:jc w:val="center"/>
              <w:rPr>
                <w:rFonts w:eastAsia="Verdana" w:cs="Verdana"/>
                <w:b/>
                <w:sz w:val="28"/>
                <w:szCs w:val="28"/>
              </w:rPr>
            </w:pPr>
            <w:r w:rsidRPr="0090489D">
              <w:rPr>
                <w:rFonts w:eastAsia="Verdana" w:cs="Verdana"/>
                <w:b/>
                <w:sz w:val="28"/>
                <w:szCs w:val="28"/>
              </w:rPr>
              <w:t xml:space="preserve">Evidence </w:t>
            </w:r>
          </w:p>
        </w:tc>
      </w:tr>
      <w:tr w:rsidR="0090489D" w:rsidRPr="0090489D" w:rsidTr="00F35463">
        <w:trPr>
          <w:trHeight w:val="126"/>
        </w:trPr>
        <w:tc>
          <w:tcPr>
            <w:tcW w:w="701" w:type="dxa"/>
            <w:shd w:val="clear" w:color="auto" w:fill="ACB9CA" w:themeFill="text2" w:themeFillTint="66"/>
          </w:tcPr>
          <w:p w:rsidR="0090489D" w:rsidRPr="0090489D" w:rsidRDefault="0090489D" w:rsidP="0090489D">
            <w:pPr>
              <w:spacing w:after="0" w:line="240" w:lineRule="auto"/>
              <w:rPr>
                <w:rFonts w:eastAsia="Verdana" w:cs="Verdana"/>
                <w:b/>
                <w:sz w:val="24"/>
                <w:szCs w:val="24"/>
              </w:rPr>
            </w:pPr>
            <w:r w:rsidRPr="0090489D">
              <w:rPr>
                <w:rFonts w:eastAsia="Verdana" w:cs="Verdana"/>
                <w:b/>
                <w:sz w:val="24"/>
                <w:szCs w:val="24"/>
              </w:rPr>
              <w:t>4.</w:t>
            </w:r>
          </w:p>
        </w:tc>
        <w:tc>
          <w:tcPr>
            <w:tcW w:w="3519" w:type="dxa"/>
            <w:shd w:val="clear" w:color="auto" w:fill="ACB9CA" w:themeFill="text2" w:themeFillTint="66"/>
          </w:tcPr>
          <w:p w:rsidR="0090489D" w:rsidRPr="0090489D" w:rsidRDefault="0090489D" w:rsidP="0090489D">
            <w:pPr>
              <w:spacing w:after="0" w:line="240" w:lineRule="auto"/>
              <w:rPr>
                <w:rFonts w:eastAsia="Verdana" w:cs="Verdana"/>
                <w:sz w:val="28"/>
                <w:szCs w:val="28"/>
              </w:rPr>
            </w:pPr>
            <w:r w:rsidRPr="0090489D">
              <w:rPr>
                <w:rFonts w:eastAsia="Verdana" w:cs="Verdana"/>
                <w:b/>
                <w:sz w:val="28"/>
                <w:szCs w:val="28"/>
              </w:rPr>
              <w:t>Policy</w:t>
            </w:r>
          </w:p>
        </w:tc>
        <w:tc>
          <w:tcPr>
            <w:tcW w:w="4085" w:type="dxa"/>
            <w:shd w:val="clear" w:color="auto" w:fill="ACB9CA" w:themeFill="text2" w:themeFillTint="66"/>
          </w:tcPr>
          <w:p w:rsidR="0090489D" w:rsidRPr="0090489D" w:rsidRDefault="0090489D" w:rsidP="0090489D">
            <w:pPr>
              <w:spacing w:after="200" w:line="276" w:lineRule="auto"/>
              <w:rPr>
                <w:rFonts w:ascii="Verdana" w:eastAsia="Verdana" w:hAnsi="Verdana" w:cs="Verdana"/>
                <w:sz w:val="28"/>
                <w:szCs w:val="28"/>
              </w:rPr>
            </w:pPr>
          </w:p>
        </w:tc>
        <w:tc>
          <w:tcPr>
            <w:tcW w:w="984" w:type="dxa"/>
            <w:shd w:val="clear" w:color="auto" w:fill="ACB9CA" w:themeFill="text2" w:themeFillTint="66"/>
          </w:tcPr>
          <w:p w:rsidR="0090489D" w:rsidRPr="0090489D" w:rsidRDefault="0090489D" w:rsidP="0090489D">
            <w:pPr>
              <w:spacing w:after="200" w:line="276" w:lineRule="auto"/>
              <w:rPr>
                <w:rFonts w:ascii="Verdana" w:eastAsia="Verdana" w:hAnsi="Verdana" w:cs="Verdana"/>
                <w:sz w:val="28"/>
                <w:szCs w:val="28"/>
              </w:rPr>
            </w:pPr>
          </w:p>
        </w:tc>
        <w:tc>
          <w:tcPr>
            <w:tcW w:w="5487" w:type="dxa"/>
            <w:shd w:val="clear" w:color="auto" w:fill="ACB9CA" w:themeFill="text2" w:themeFillTint="66"/>
          </w:tcPr>
          <w:p w:rsidR="0090489D" w:rsidRPr="0090489D" w:rsidRDefault="0090489D" w:rsidP="0090489D">
            <w:pPr>
              <w:spacing w:after="200" w:line="276" w:lineRule="auto"/>
              <w:rPr>
                <w:rFonts w:ascii="Verdana" w:eastAsia="Verdana" w:hAnsi="Verdana" w:cs="Verdana"/>
                <w:sz w:val="28"/>
                <w:szCs w:val="28"/>
              </w:rPr>
            </w:pPr>
          </w:p>
        </w:tc>
      </w:tr>
      <w:tr w:rsidR="0090489D" w:rsidRPr="0090489D" w:rsidTr="00F35463">
        <w:trPr>
          <w:trHeight w:val="872"/>
        </w:trPr>
        <w:tc>
          <w:tcPr>
            <w:tcW w:w="701"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4.1</w:t>
            </w:r>
          </w:p>
          <w:p w:rsidR="0090489D" w:rsidRPr="0090489D" w:rsidRDefault="0090489D" w:rsidP="0090489D">
            <w:pPr>
              <w:spacing w:after="200" w:line="276" w:lineRule="auto"/>
              <w:rPr>
                <w:rFonts w:eastAsia="Verdana" w:cs="Verdana"/>
                <w:sz w:val="24"/>
                <w:szCs w:val="24"/>
              </w:rPr>
            </w:pPr>
          </w:p>
        </w:tc>
        <w:tc>
          <w:tcPr>
            <w:tcW w:w="3519"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School is aware of best practice linked to supporting dyslexic pupils following the requirements of SEND statutory guidance</w:t>
            </w:r>
            <w:r w:rsidRPr="0090489D">
              <w:rPr>
                <w:rFonts w:cs="Arial"/>
                <w:sz w:val="24"/>
                <w:szCs w:val="24"/>
              </w:rPr>
              <w:t>.</w:t>
            </w:r>
            <w:r w:rsidRPr="0090489D">
              <w:rPr>
                <w:rFonts w:eastAsia="Verdana" w:cs="Verdana"/>
                <w:sz w:val="24"/>
                <w:szCs w:val="24"/>
              </w:rPr>
              <w:t xml:space="preserve"> </w:t>
            </w:r>
          </w:p>
        </w:tc>
        <w:tc>
          <w:tcPr>
            <w:tcW w:w="4085"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Evidence from or linked to the school SEN Information Report and Policy</w:t>
            </w:r>
          </w:p>
        </w:tc>
        <w:tc>
          <w:tcPr>
            <w:tcW w:w="984" w:type="dxa"/>
          </w:tcPr>
          <w:p w:rsidR="0090489D" w:rsidRPr="0090489D" w:rsidRDefault="0090489D" w:rsidP="0090489D">
            <w:pPr>
              <w:spacing w:after="200" w:line="276" w:lineRule="auto"/>
              <w:ind w:left="720"/>
              <w:rPr>
                <w:rFonts w:eastAsia="Verdana" w:cs="Verdana"/>
                <w:sz w:val="24"/>
                <w:szCs w:val="24"/>
              </w:rPr>
            </w:pPr>
          </w:p>
        </w:tc>
        <w:tc>
          <w:tcPr>
            <w:tcW w:w="5487" w:type="dxa"/>
          </w:tcPr>
          <w:p w:rsidR="0090489D" w:rsidRPr="0090489D" w:rsidRDefault="0090489D" w:rsidP="0090489D">
            <w:pPr>
              <w:spacing w:after="200" w:line="276" w:lineRule="auto"/>
              <w:ind w:left="720"/>
              <w:rPr>
                <w:rFonts w:eastAsia="Verdana" w:cs="Verdana"/>
                <w:sz w:val="24"/>
                <w:szCs w:val="24"/>
              </w:rPr>
            </w:pPr>
          </w:p>
        </w:tc>
      </w:tr>
      <w:tr w:rsidR="0090489D" w:rsidRPr="0090489D" w:rsidTr="00F35463">
        <w:trPr>
          <w:trHeight w:val="518"/>
        </w:trPr>
        <w:tc>
          <w:tcPr>
            <w:tcW w:w="701"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4.2</w:t>
            </w:r>
          </w:p>
        </w:tc>
        <w:tc>
          <w:tcPr>
            <w:tcW w:w="3519" w:type="dxa"/>
          </w:tcPr>
          <w:p w:rsidR="0090489D" w:rsidRPr="0090489D" w:rsidRDefault="0090489D" w:rsidP="0090489D">
            <w:pPr>
              <w:spacing w:after="200" w:line="276" w:lineRule="auto"/>
              <w:rPr>
                <w:rFonts w:eastAsia="Verdana" w:cs="Verdana"/>
                <w:sz w:val="24"/>
                <w:szCs w:val="24"/>
              </w:rPr>
            </w:pPr>
            <w:bookmarkStart w:id="0" w:name="_gjdgxs" w:colFirst="0" w:colLast="0"/>
            <w:bookmarkEnd w:id="0"/>
            <w:r w:rsidRPr="0090489D">
              <w:rPr>
                <w:rFonts w:eastAsia="Verdana" w:cs="Verdana"/>
                <w:sz w:val="24"/>
                <w:szCs w:val="24"/>
              </w:rPr>
              <w:t>The school SEN Information Report and Policy contains a statement relating to good practice and procedures for dyslexia.</w:t>
            </w:r>
          </w:p>
        </w:tc>
        <w:tc>
          <w:tcPr>
            <w:tcW w:w="4085"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 xml:space="preserve">School SEN Information Report and Policy </w:t>
            </w:r>
          </w:p>
          <w:p w:rsidR="0090489D" w:rsidRPr="0090489D" w:rsidRDefault="0090489D" w:rsidP="0090489D">
            <w:pPr>
              <w:spacing w:after="200" w:line="276" w:lineRule="auto"/>
              <w:rPr>
                <w:rFonts w:eastAsia="Verdana" w:cs="Verdana"/>
                <w:sz w:val="24"/>
                <w:szCs w:val="24"/>
              </w:rPr>
            </w:pPr>
            <w:r w:rsidRPr="0090489D">
              <w:rPr>
                <w:rFonts w:eastAsia="Verdana" w:cs="Verdana"/>
                <w:i/>
                <w:sz w:val="24"/>
                <w:szCs w:val="24"/>
              </w:rPr>
              <w:t>Or</w:t>
            </w:r>
            <w:r w:rsidRPr="0090489D">
              <w:rPr>
                <w:rFonts w:eastAsia="Verdana" w:cs="Verdana"/>
                <w:sz w:val="24"/>
                <w:szCs w:val="24"/>
              </w:rPr>
              <w:t xml:space="preserve"> specific policy on dyslexia friendly practice within the school</w:t>
            </w:r>
          </w:p>
          <w:p w:rsidR="0090489D" w:rsidRPr="0090489D" w:rsidRDefault="0090489D" w:rsidP="0090489D">
            <w:pPr>
              <w:spacing w:after="200" w:line="276" w:lineRule="auto"/>
              <w:rPr>
                <w:rFonts w:eastAsia="Verdana" w:cs="Verdana"/>
                <w:sz w:val="24"/>
                <w:szCs w:val="24"/>
              </w:rPr>
            </w:pPr>
          </w:p>
        </w:tc>
        <w:tc>
          <w:tcPr>
            <w:tcW w:w="984" w:type="dxa"/>
          </w:tcPr>
          <w:p w:rsidR="0090489D" w:rsidRPr="0090489D" w:rsidRDefault="0090489D" w:rsidP="0090489D">
            <w:pPr>
              <w:spacing w:after="200" w:line="276" w:lineRule="auto"/>
              <w:rPr>
                <w:rFonts w:eastAsia="Verdana" w:cs="Verdana"/>
                <w:sz w:val="24"/>
                <w:szCs w:val="24"/>
              </w:rPr>
            </w:pPr>
          </w:p>
        </w:tc>
        <w:tc>
          <w:tcPr>
            <w:tcW w:w="5487" w:type="dxa"/>
          </w:tcPr>
          <w:p w:rsidR="0090489D" w:rsidRPr="0090489D" w:rsidRDefault="0090489D" w:rsidP="0090489D">
            <w:pPr>
              <w:spacing w:after="200" w:line="276" w:lineRule="auto"/>
              <w:rPr>
                <w:rFonts w:eastAsia="Verdana" w:cs="Verdana"/>
                <w:sz w:val="24"/>
                <w:szCs w:val="24"/>
              </w:rPr>
            </w:pPr>
          </w:p>
        </w:tc>
      </w:tr>
      <w:tr w:rsidR="0090489D" w:rsidRPr="0090489D" w:rsidTr="00F35463">
        <w:trPr>
          <w:trHeight w:val="1238"/>
        </w:trPr>
        <w:tc>
          <w:tcPr>
            <w:tcW w:w="701"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4.3</w:t>
            </w:r>
          </w:p>
        </w:tc>
        <w:tc>
          <w:tcPr>
            <w:tcW w:w="3519"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 xml:space="preserve">Information from the school’s SEN Information Report and Policy is disseminated to staff so that all members of staff, including new staff and teacher trainees, are made aware of best </w:t>
            </w:r>
            <w:r w:rsidRPr="0090489D">
              <w:rPr>
                <w:rFonts w:eastAsia="Verdana" w:cs="Verdana"/>
                <w:sz w:val="24"/>
                <w:szCs w:val="24"/>
              </w:rPr>
              <w:lastRenderedPageBreak/>
              <w:t>practice in relation to supporting dyslexic pupils.</w:t>
            </w:r>
          </w:p>
        </w:tc>
        <w:tc>
          <w:tcPr>
            <w:tcW w:w="4085"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lastRenderedPageBreak/>
              <w:t>Minutes from staff briefings/ meetings</w:t>
            </w:r>
          </w:p>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Photographic evidence (e.g. staffroom noticeboard)</w:t>
            </w:r>
          </w:p>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Emails of other forms of communication to staff</w:t>
            </w:r>
          </w:p>
        </w:tc>
        <w:tc>
          <w:tcPr>
            <w:tcW w:w="984" w:type="dxa"/>
          </w:tcPr>
          <w:p w:rsidR="0090489D" w:rsidRPr="0090489D" w:rsidRDefault="0090489D" w:rsidP="0090489D">
            <w:pPr>
              <w:spacing w:after="200" w:line="276" w:lineRule="auto"/>
              <w:rPr>
                <w:rFonts w:eastAsia="Verdana" w:cs="Verdana"/>
                <w:sz w:val="24"/>
                <w:szCs w:val="24"/>
              </w:rPr>
            </w:pPr>
          </w:p>
        </w:tc>
        <w:tc>
          <w:tcPr>
            <w:tcW w:w="5487" w:type="dxa"/>
          </w:tcPr>
          <w:p w:rsidR="0090489D" w:rsidRPr="0090489D" w:rsidRDefault="0090489D" w:rsidP="0090489D">
            <w:pPr>
              <w:spacing w:after="200" w:line="276" w:lineRule="auto"/>
              <w:rPr>
                <w:rFonts w:eastAsia="Verdana" w:cs="Verdana"/>
                <w:sz w:val="24"/>
                <w:szCs w:val="24"/>
              </w:rPr>
            </w:pPr>
          </w:p>
        </w:tc>
      </w:tr>
      <w:tr w:rsidR="0090489D" w:rsidRPr="0090489D" w:rsidTr="00F35463">
        <w:trPr>
          <w:trHeight w:val="1238"/>
        </w:trPr>
        <w:tc>
          <w:tcPr>
            <w:tcW w:w="701"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lastRenderedPageBreak/>
              <w:t>4.4</w:t>
            </w:r>
          </w:p>
        </w:tc>
        <w:tc>
          <w:tcPr>
            <w:tcW w:w="3519"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School governors, particularly the SEN governor, are aware of dyslexia friendly policies and practice within the school.</w:t>
            </w:r>
          </w:p>
        </w:tc>
        <w:tc>
          <w:tcPr>
            <w:tcW w:w="4085"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Notes from meetings/reports to governors</w:t>
            </w:r>
          </w:p>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Emails and/ or other communication to governors</w:t>
            </w:r>
          </w:p>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Evidence of named SEN governor on Policy/ SEN Information Report</w:t>
            </w:r>
          </w:p>
        </w:tc>
        <w:tc>
          <w:tcPr>
            <w:tcW w:w="984" w:type="dxa"/>
          </w:tcPr>
          <w:p w:rsidR="0090489D" w:rsidRPr="0090489D" w:rsidRDefault="0090489D" w:rsidP="0090489D">
            <w:pPr>
              <w:spacing w:after="200" w:line="276" w:lineRule="auto"/>
              <w:rPr>
                <w:rFonts w:eastAsia="Verdana" w:cs="Verdana"/>
                <w:sz w:val="24"/>
                <w:szCs w:val="24"/>
              </w:rPr>
            </w:pPr>
          </w:p>
        </w:tc>
        <w:tc>
          <w:tcPr>
            <w:tcW w:w="5487" w:type="dxa"/>
          </w:tcPr>
          <w:p w:rsidR="0090489D" w:rsidRPr="0090489D" w:rsidRDefault="0090489D" w:rsidP="0090489D">
            <w:pPr>
              <w:spacing w:after="200" w:line="276" w:lineRule="auto"/>
              <w:rPr>
                <w:rFonts w:eastAsia="Verdana" w:cs="Verdana"/>
                <w:sz w:val="24"/>
                <w:szCs w:val="24"/>
              </w:rPr>
            </w:pPr>
          </w:p>
        </w:tc>
      </w:tr>
      <w:tr w:rsidR="0090489D" w:rsidRPr="0090489D" w:rsidTr="00F35463">
        <w:trPr>
          <w:trHeight w:val="1238"/>
        </w:trPr>
        <w:tc>
          <w:tcPr>
            <w:tcW w:w="701"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4.5</w:t>
            </w:r>
          </w:p>
          <w:p w:rsidR="0090489D" w:rsidRPr="0090489D" w:rsidRDefault="0090489D" w:rsidP="0090489D">
            <w:pPr>
              <w:spacing w:after="200" w:line="276" w:lineRule="auto"/>
              <w:rPr>
                <w:rFonts w:eastAsia="Verdana" w:cs="Verdana"/>
                <w:b/>
                <w:bCs/>
                <w:color w:val="2F5496" w:themeColor="accent1" w:themeShade="BF"/>
                <w:sz w:val="24"/>
                <w:szCs w:val="24"/>
              </w:rPr>
            </w:pPr>
            <w:r w:rsidRPr="0090489D">
              <w:rPr>
                <w:rFonts w:eastAsia="Verdana" w:cs="Verdana"/>
                <w:b/>
                <w:bCs/>
                <w:color w:val="2F5496" w:themeColor="accent1" w:themeShade="BF"/>
                <w:sz w:val="24"/>
                <w:szCs w:val="24"/>
              </w:rPr>
              <w:t>also 3.6</w:t>
            </w:r>
          </w:p>
          <w:p w:rsidR="0090489D" w:rsidRPr="0090489D" w:rsidRDefault="0090489D" w:rsidP="0090489D">
            <w:pPr>
              <w:spacing w:after="200" w:line="276" w:lineRule="auto"/>
              <w:rPr>
                <w:rFonts w:eastAsia="Verdana" w:cs="Verdana"/>
                <w:sz w:val="24"/>
                <w:szCs w:val="24"/>
              </w:rPr>
            </w:pPr>
          </w:p>
        </w:tc>
        <w:tc>
          <w:tcPr>
            <w:tcW w:w="3519" w:type="dxa"/>
          </w:tcPr>
          <w:p w:rsidR="0090489D" w:rsidRPr="0090489D" w:rsidRDefault="0090489D" w:rsidP="0090489D">
            <w:pPr>
              <w:spacing w:after="0"/>
              <w:ind w:right="14"/>
              <w:rPr>
                <w:rFonts w:eastAsia="Verdana" w:cs="Verdana"/>
                <w:color w:val="000000" w:themeColor="text1"/>
                <w:sz w:val="24"/>
                <w:szCs w:val="24"/>
              </w:rPr>
            </w:pPr>
            <w:r w:rsidRPr="0090489D">
              <w:rPr>
                <w:rFonts w:eastAsia="Arial" w:cs="Arial"/>
                <w:color w:val="000000" w:themeColor="text1"/>
                <w:sz w:val="24"/>
                <w:szCs w:val="24"/>
              </w:rPr>
              <w:t>Dyslexia friendly practice is included in school homework policy and marking policy and staff implement this practice.</w:t>
            </w:r>
          </w:p>
        </w:tc>
        <w:tc>
          <w:tcPr>
            <w:tcW w:w="4085" w:type="dxa"/>
          </w:tcPr>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Homework policy and evidence of it being followed in pupils’ books</w:t>
            </w:r>
          </w:p>
          <w:p w:rsidR="0090489D" w:rsidRPr="0090489D" w:rsidRDefault="0090489D" w:rsidP="0090489D">
            <w:pPr>
              <w:spacing w:after="200" w:line="276" w:lineRule="auto"/>
              <w:rPr>
                <w:rFonts w:eastAsia="Verdana" w:cs="Verdana"/>
                <w:sz w:val="24"/>
                <w:szCs w:val="24"/>
              </w:rPr>
            </w:pPr>
            <w:r w:rsidRPr="0090489D">
              <w:rPr>
                <w:rFonts w:eastAsia="Verdana" w:cs="Verdana"/>
                <w:sz w:val="24"/>
                <w:szCs w:val="24"/>
              </w:rPr>
              <w:t>Marking policy and evidence of it being followed in pupils’ books</w:t>
            </w:r>
          </w:p>
        </w:tc>
        <w:tc>
          <w:tcPr>
            <w:tcW w:w="984" w:type="dxa"/>
          </w:tcPr>
          <w:p w:rsidR="0090489D" w:rsidRPr="0090489D" w:rsidRDefault="0090489D" w:rsidP="0090489D">
            <w:pPr>
              <w:spacing w:after="200" w:line="276" w:lineRule="auto"/>
              <w:rPr>
                <w:rFonts w:eastAsia="Verdana" w:cs="Verdana"/>
                <w:sz w:val="24"/>
                <w:szCs w:val="24"/>
              </w:rPr>
            </w:pPr>
          </w:p>
        </w:tc>
        <w:tc>
          <w:tcPr>
            <w:tcW w:w="5487" w:type="dxa"/>
          </w:tcPr>
          <w:p w:rsidR="0090489D" w:rsidRPr="0090489D" w:rsidRDefault="0090489D" w:rsidP="0090489D">
            <w:pPr>
              <w:spacing w:after="200" w:line="276" w:lineRule="auto"/>
              <w:rPr>
                <w:rFonts w:eastAsia="Verdana" w:cs="Verdana"/>
                <w:sz w:val="24"/>
                <w:szCs w:val="24"/>
              </w:rPr>
            </w:pPr>
          </w:p>
        </w:tc>
      </w:tr>
    </w:tbl>
    <w:p w:rsidR="0090489D" w:rsidRPr="0090489D" w:rsidRDefault="0090489D" w:rsidP="0090489D">
      <w:pPr>
        <w:spacing w:after="200" w:line="276" w:lineRule="auto"/>
      </w:pPr>
    </w:p>
    <w:p w:rsidR="0090489D" w:rsidRPr="0090489D" w:rsidRDefault="0090489D" w:rsidP="0090489D">
      <w:pPr>
        <w:spacing w:after="200" w:line="276" w:lineRule="auto"/>
      </w:pPr>
    </w:p>
    <w:p w:rsidR="0090489D" w:rsidRPr="0090489D" w:rsidRDefault="0090489D" w:rsidP="0090489D">
      <w:pPr>
        <w:spacing w:after="200" w:line="276" w:lineRule="auto"/>
      </w:pPr>
      <w:bookmarkStart w:id="1" w:name="_GoBack"/>
      <w:bookmarkEnd w:id="1"/>
    </w:p>
    <w:p w:rsidR="00F26DCD" w:rsidRDefault="00F26DCD"/>
    <w:sectPr w:rsidR="00F26DCD" w:rsidSect="0090489D">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80" w:rsidRDefault="00943B80" w:rsidP="0090489D">
      <w:pPr>
        <w:spacing w:after="0" w:line="240" w:lineRule="auto"/>
      </w:pPr>
      <w:r>
        <w:separator/>
      </w:r>
    </w:p>
  </w:endnote>
  <w:endnote w:type="continuationSeparator" w:id="0">
    <w:p w:rsidR="00943B80" w:rsidRDefault="00943B80" w:rsidP="0090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9D" w:rsidRDefault="0090489D">
    <w:pPr>
      <w:pStyle w:val="Footer"/>
    </w:pPr>
    <w:r w:rsidRPr="00EC44A2">
      <w:rPr>
        <w:b/>
        <w:noProof/>
        <w:sz w:val="28"/>
        <w:szCs w:val="28"/>
        <w:lang w:eastAsia="en-GB"/>
      </w:rPr>
      <w:drawing>
        <wp:anchor distT="0" distB="0" distL="114300" distR="114300" simplePos="0" relativeHeight="251663360" behindDoc="0" locked="0" layoutInCell="1" allowOverlap="1" wp14:anchorId="3269232E" wp14:editId="06776B24">
          <wp:simplePos x="0" y="0"/>
          <wp:positionH relativeFrom="margin">
            <wp:posOffset>7947660</wp:posOffset>
          </wp:positionH>
          <wp:positionV relativeFrom="margin">
            <wp:posOffset>6209665</wp:posOffset>
          </wp:positionV>
          <wp:extent cx="1285875" cy="2952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margin">
            <wp14:pctWidth>0</wp14:pctWidth>
          </wp14:sizeRelH>
          <wp14:sizeRelV relativeFrom="margin">
            <wp14:pctHeight>0</wp14:pctHeight>
          </wp14:sizeRelV>
        </wp:anchor>
      </w:drawing>
    </w:r>
    <w:r w:rsidRPr="00EC44A2">
      <w:rPr>
        <w:b/>
        <w:noProof/>
        <w:sz w:val="28"/>
        <w:szCs w:val="28"/>
        <w:lang w:eastAsia="en-GB"/>
      </w:rPr>
      <w:drawing>
        <wp:anchor distT="0" distB="0" distL="114300" distR="114300" simplePos="0" relativeHeight="251662336" behindDoc="0" locked="0" layoutInCell="1" allowOverlap="1" wp14:anchorId="2E55E5DF" wp14:editId="306072C8">
          <wp:simplePos x="0" y="0"/>
          <wp:positionH relativeFrom="margin">
            <wp:posOffset>3985260</wp:posOffset>
          </wp:positionH>
          <wp:positionV relativeFrom="margin">
            <wp:posOffset>9260205</wp:posOffset>
          </wp:positionV>
          <wp:extent cx="1285875" cy="2952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margin">
            <wp14:pctWidth>0</wp14:pctWidth>
          </wp14:sizeRelH>
          <wp14:sizeRelV relativeFrom="margin">
            <wp14:pctHeight>0</wp14:pctHeight>
          </wp14:sizeRelV>
        </wp:anchor>
      </w:drawing>
    </w:r>
    <w:r w:rsidRPr="00CC0F5F">
      <w:rPr>
        <w:noProof/>
        <w:lang w:eastAsia="en-GB"/>
      </w:rPr>
      <w:drawing>
        <wp:inline distT="0" distB="0" distL="0" distR="0" wp14:anchorId="7F20232A" wp14:editId="0EF21186">
          <wp:extent cx="1428750" cy="371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426866" cy="370985"/>
                  </a:xfrm>
                  <a:prstGeom prst="rect">
                    <a:avLst/>
                  </a:prstGeom>
                </pic:spPr>
              </pic:pic>
            </a:graphicData>
          </a:graphic>
        </wp:inline>
      </w:drawing>
    </w: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9D" w:rsidRDefault="0090489D" w:rsidP="0090489D">
    <w:pPr>
      <w:pStyle w:val="Footer"/>
      <w:jc w:val="both"/>
    </w:pPr>
    <w:r w:rsidRPr="00CC0F5F">
      <w:rPr>
        <w:noProof/>
        <w:lang w:eastAsia="en-GB"/>
      </w:rPr>
      <w:drawing>
        <wp:inline distT="0" distB="0" distL="0" distR="0" wp14:anchorId="0F0ADB5F" wp14:editId="2E8E8150">
          <wp:extent cx="1428750" cy="371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6866" cy="370985"/>
                  </a:xfrm>
                  <a:prstGeom prst="rect">
                    <a:avLst/>
                  </a:prstGeom>
                </pic:spPr>
              </pic:pic>
            </a:graphicData>
          </a:graphic>
        </wp:inline>
      </w:drawing>
    </w:r>
    <w:r w:rsidRPr="00EC44A2">
      <w:rPr>
        <w:b/>
        <w:noProof/>
        <w:sz w:val="28"/>
        <w:szCs w:val="28"/>
        <w:lang w:eastAsia="en-GB"/>
      </w:rPr>
      <w:drawing>
        <wp:anchor distT="0" distB="0" distL="114300" distR="114300" simplePos="0" relativeHeight="251659264" behindDoc="0" locked="0" layoutInCell="1" allowOverlap="1" wp14:anchorId="5B5BDAB0" wp14:editId="6DE16B79">
          <wp:simplePos x="0" y="0"/>
          <wp:positionH relativeFrom="margin">
            <wp:align>right</wp:align>
          </wp:positionH>
          <wp:positionV relativeFrom="margin">
            <wp:posOffset>9018905</wp:posOffset>
          </wp:positionV>
          <wp:extent cx="1285875" cy="295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margin">
            <wp14:pctWidth>0</wp14:pctWidth>
          </wp14:sizeRelH>
          <wp14:sizeRelV relativeFrom="margin">
            <wp14:pctHeight>0</wp14:pctHeight>
          </wp14:sizeRelV>
        </wp:anchor>
      </w:drawing>
    </w:r>
    <w:r w:rsidRPr="00EC44A2">
      <w:rPr>
        <w:b/>
        <w:noProof/>
        <w:sz w:val="28"/>
        <w:szCs w:val="28"/>
        <w:lang w:eastAsia="en-GB"/>
      </w:rPr>
      <w:drawing>
        <wp:anchor distT="0" distB="0" distL="114300" distR="114300" simplePos="0" relativeHeight="251660288" behindDoc="0" locked="0" layoutInCell="1" allowOverlap="1" wp14:anchorId="7BE5037B" wp14:editId="1BC36FB6">
          <wp:simplePos x="0" y="0"/>
          <wp:positionH relativeFrom="margin">
            <wp:posOffset>7947660</wp:posOffset>
          </wp:positionH>
          <wp:positionV relativeFrom="margin">
            <wp:posOffset>6209665</wp:posOffset>
          </wp:positionV>
          <wp:extent cx="1285875" cy="2952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80" w:rsidRDefault="00943B80" w:rsidP="0090489D">
      <w:pPr>
        <w:spacing w:after="0" w:line="240" w:lineRule="auto"/>
      </w:pPr>
      <w:r>
        <w:separator/>
      </w:r>
    </w:p>
  </w:footnote>
  <w:footnote w:type="continuationSeparator" w:id="0">
    <w:p w:rsidR="00943B80" w:rsidRDefault="00943B80" w:rsidP="0090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323E4F" w:themeColor="text2" w:themeShade="BF"/>
        <w:spacing w:val="5"/>
        <w:kern w:val="28"/>
        <w:sz w:val="28"/>
        <w:szCs w:val="28"/>
      </w:rPr>
      <w:alias w:val="Subtitle"/>
      <w:id w:val="526301360"/>
      <w:dataBinding w:prefixMappings="xmlns:ns0='http://schemas.openxmlformats.org/package/2006/metadata/core-properties' xmlns:ns1='http://purl.org/dc/elements/1.1/'" w:xpath="/ns0:coreProperties[1]/ns1:subject[1]" w:storeItemID="{6C3C8BC8-F283-45AE-878A-BAB7291924A1}"/>
      <w:text/>
    </w:sdtPr>
    <w:sdtContent>
      <w:p w:rsidR="00A26E29" w:rsidRPr="00220D3B" w:rsidRDefault="00A26E29" w:rsidP="00A26E29">
        <w:pPr>
          <w:pBdr>
            <w:bottom w:val="single" w:sz="8" w:space="4" w:color="4F81BD"/>
          </w:pBdr>
          <w:spacing w:after="300" w:line="240" w:lineRule="auto"/>
          <w:contextualSpacing/>
          <w:jc w:val="center"/>
          <w:rPr>
            <w:rFonts w:ascii="Calibri" w:eastAsia="Calibri" w:hAnsi="Calibri" w:cs="Times New Roman"/>
            <w:b/>
            <w:sz w:val="28"/>
            <w:szCs w:val="28"/>
          </w:rPr>
        </w:pPr>
        <w:r>
          <w:rPr>
            <w:rFonts w:asciiTheme="majorHAnsi" w:eastAsiaTheme="majorEastAsia" w:hAnsiTheme="majorHAnsi" w:cstheme="majorBidi"/>
            <w:b/>
            <w:color w:val="323E4F" w:themeColor="text2" w:themeShade="BF"/>
            <w:spacing w:val="5"/>
            <w:kern w:val="28"/>
            <w:sz w:val="28"/>
            <w:szCs w:val="28"/>
          </w:rPr>
          <w:t>Norfolk Dyslexia Friendly School Quality Mark Award</w:t>
        </w:r>
      </w:p>
    </w:sdtContent>
  </w:sdt>
  <w:p w:rsidR="0090489D" w:rsidRDefault="009048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323E4F" w:themeColor="text2" w:themeShade="BF"/>
        <w:spacing w:val="5"/>
        <w:kern w:val="28"/>
        <w:sz w:val="28"/>
        <w:szCs w:val="28"/>
      </w:rPr>
      <w:alias w:val="Subtitle"/>
      <w:id w:val="-1296289088"/>
      <w:dataBinding w:prefixMappings="xmlns:ns0='http://schemas.openxmlformats.org/package/2006/metadata/core-properties' xmlns:ns1='http://purl.org/dc/elements/1.1/'" w:xpath="/ns0:coreProperties[1]/ns1:subject[1]" w:storeItemID="{6C3C8BC8-F283-45AE-878A-BAB7291924A1}"/>
      <w:text/>
    </w:sdtPr>
    <w:sdtContent>
      <w:p w:rsidR="00A26E29" w:rsidRPr="00220D3B" w:rsidRDefault="00A26E29" w:rsidP="00A26E29">
        <w:pPr>
          <w:pBdr>
            <w:bottom w:val="single" w:sz="8" w:space="4" w:color="4F81BD"/>
          </w:pBdr>
          <w:spacing w:after="300" w:line="240" w:lineRule="auto"/>
          <w:contextualSpacing/>
          <w:jc w:val="center"/>
          <w:rPr>
            <w:rFonts w:ascii="Calibri" w:eastAsia="Calibri" w:hAnsi="Calibri" w:cs="Times New Roman"/>
            <w:b/>
            <w:sz w:val="28"/>
            <w:szCs w:val="28"/>
          </w:rPr>
        </w:pPr>
        <w:r>
          <w:rPr>
            <w:rFonts w:asciiTheme="majorHAnsi" w:eastAsiaTheme="majorEastAsia" w:hAnsiTheme="majorHAnsi" w:cstheme="majorBidi"/>
            <w:b/>
            <w:color w:val="323E4F" w:themeColor="text2" w:themeShade="BF"/>
            <w:spacing w:val="5"/>
            <w:kern w:val="28"/>
            <w:sz w:val="28"/>
            <w:szCs w:val="28"/>
          </w:rPr>
          <w:t>Norfolk Dyslexia Friendly School Quality Mark Award</w:t>
        </w:r>
      </w:p>
    </w:sdtContent>
  </w:sdt>
  <w:p w:rsidR="0090489D" w:rsidRDefault="00904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9D"/>
    <w:rsid w:val="0090489D"/>
    <w:rsid w:val="00943B80"/>
    <w:rsid w:val="00A26E29"/>
    <w:rsid w:val="00B35B28"/>
    <w:rsid w:val="00F2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35E3D-88C9-4BAE-84E2-D11B4724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89D"/>
  </w:style>
  <w:style w:type="paragraph" w:styleId="Footer">
    <w:name w:val="footer"/>
    <w:basedOn w:val="Normal"/>
    <w:link w:val="FooterChar"/>
    <w:uiPriority w:val="99"/>
    <w:unhideWhenUsed/>
    <w:rsid w:val="00904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89D"/>
  </w:style>
  <w:style w:type="paragraph" w:styleId="Title">
    <w:name w:val="Title"/>
    <w:basedOn w:val="Normal"/>
    <w:next w:val="Normal"/>
    <w:link w:val="TitleChar"/>
    <w:uiPriority w:val="10"/>
    <w:qFormat/>
    <w:rsid w:val="009048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8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Taverham High School</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Norfolk Dyslexia Friendly School Quality Mark Award</dc:subject>
  <dc:creator>Mrs L Bates</dc:creator>
  <cp:keywords/>
  <dc:description/>
  <cp:lastModifiedBy>Mrs L Bates</cp:lastModifiedBy>
  <cp:revision>2</cp:revision>
  <dcterms:created xsi:type="dcterms:W3CDTF">2024-10-22T12:55:00Z</dcterms:created>
  <dcterms:modified xsi:type="dcterms:W3CDTF">2024-10-22T13:26:00Z</dcterms:modified>
</cp:coreProperties>
</file>