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E9" w:rsidRPr="00216509" w:rsidRDefault="00993CE9" w:rsidP="00993CE9">
      <w:pPr>
        <w:spacing w:after="200" w:line="276" w:lineRule="auto"/>
        <w:rPr>
          <w:rFonts w:ascii="Calibri" w:eastAsia="Calibri" w:hAnsi="Calibri" w:cs="Times New Roman"/>
        </w:rPr>
      </w:pPr>
    </w:p>
    <w:p w:rsidR="00993CE9" w:rsidRDefault="00993CE9" w:rsidP="00993CE9">
      <w:pPr>
        <w:spacing w:after="200" w:line="276" w:lineRule="auto"/>
        <w:rPr>
          <w:rFonts w:ascii="Calibri" w:eastAsia="Calibri" w:hAnsi="Calibri" w:cs="Times New Roman"/>
        </w:rPr>
      </w:pPr>
    </w:p>
    <w:p w:rsidR="00993CE9" w:rsidRDefault="00993CE9" w:rsidP="00993CE9">
      <w:pPr>
        <w:spacing w:after="200" w:line="276" w:lineRule="auto"/>
        <w:rPr>
          <w:rFonts w:ascii="Calibri" w:eastAsia="Calibri" w:hAnsi="Calibri" w:cs="Times New Roman"/>
        </w:rPr>
      </w:pPr>
    </w:p>
    <w:p w:rsidR="00993CE9" w:rsidRPr="00216509" w:rsidRDefault="00993CE9" w:rsidP="00993CE9">
      <w:pPr>
        <w:spacing w:after="200" w:line="276" w:lineRule="auto"/>
        <w:rPr>
          <w:rFonts w:ascii="Calibri" w:eastAsia="Calibri" w:hAnsi="Calibri" w:cs="Times New Roman"/>
        </w:rPr>
      </w:pPr>
    </w:p>
    <w:p w:rsidR="00993CE9" w:rsidRPr="00216509" w:rsidRDefault="00993CE9" w:rsidP="00993CE9">
      <w:pPr>
        <w:pBdr>
          <w:bottom w:val="single" w:sz="8" w:space="4" w:color="4F81BD"/>
        </w:pBdr>
        <w:spacing w:after="300" w:line="240" w:lineRule="auto"/>
        <w:contextualSpacing/>
        <w:rPr>
          <w:rFonts w:ascii="Cambria" w:eastAsia="Times New Roman" w:hAnsi="Cambria" w:cs="Times New Roman"/>
          <w:color w:val="17365D"/>
          <w:spacing w:val="5"/>
          <w:kern w:val="28"/>
          <w:sz w:val="144"/>
          <w:szCs w:val="144"/>
        </w:rPr>
      </w:pPr>
      <w:r w:rsidRPr="00216509">
        <w:rPr>
          <w:rFonts w:ascii="Cambria" w:eastAsia="Times New Roman" w:hAnsi="Cambria" w:cs="Times New Roman"/>
          <w:color w:val="17365D"/>
          <w:spacing w:val="5"/>
          <w:kern w:val="28"/>
          <w:sz w:val="144"/>
          <w:szCs w:val="144"/>
        </w:rPr>
        <w:t>STANDARD 6:</w:t>
      </w:r>
    </w:p>
    <w:p w:rsidR="00993CE9" w:rsidRPr="00216509" w:rsidRDefault="00993CE9" w:rsidP="00993CE9">
      <w:pPr>
        <w:pBdr>
          <w:bottom w:val="single" w:sz="8" w:space="4" w:color="4F81BD"/>
        </w:pBdr>
        <w:spacing w:after="300" w:line="240" w:lineRule="auto"/>
        <w:contextualSpacing/>
        <w:rPr>
          <w:rFonts w:ascii="Cambria" w:eastAsia="Times New Roman" w:hAnsi="Cambria" w:cs="Times New Roman"/>
          <w:color w:val="17365D"/>
          <w:spacing w:val="5"/>
          <w:kern w:val="28"/>
          <w:sz w:val="96"/>
          <w:szCs w:val="96"/>
        </w:rPr>
      </w:pPr>
      <w:r w:rsidRPr="00216509">
        <w:rPr>
          <w:rFonts w:ascii="Cambria" w:eastAsia="Times New Roman" w:hAnsi="Cambria" w:cs="Times New Roman"/>
          <w:color w:val="17365D"/>
          <w:spacing w:val="5"/>
          <w:kern w:val="28"/>
          <w:sz w:val="96"/>
          <w:szCs w:val="96"/>
        </w:rPr>
        <w:t>Working with Parents and Carers</w:t>
      </w:r>
    </w:p>
    <w:p w:rsidR="00993CE9" w:rsidRPr="00216509" w:rsidRDefault="00993CE9" w:rsidP="00993CE9">
      <w:pPr>
        <w:spacing w:after="200" w:line="276" w:lineRule="auto"/>
        <w:rPr>
          <w:rFonts w:ascii="Calibri" w:eastAsia="Calibri" w:hAnsi="Calibri" w:cs="Times New Roman"/>
          <w:sz w:val="28"/>
          <w:szCs w:val="28"/>
        </w:rPr>
      </w:pPr>
    </w:p>
    <w:p w:rsidR="00993CE9" w:rsidRPr="00216509" w:rsidRDefault="00993CE9" w:rsidP="00993CE9">
      <w:pPr>
        <w:spacing w:after="227" w:line="276" w:lineRule="auto"/>
        <w:ind w:left="10" w:right="67"/>
        <w:rPr>
          <w:rFonts w:ascii="Calibri" w:eastAsia="Calibri" w:hAnsi="Calibri" w:cs="Times New Roman"/>
          <w:b/>
          <w:sz w:val="28"/>
          <w:szCs w:val="28"/>
        </w:rPr>
      </w:pPr>
    </w:p>
    <w:p w:rsidR="00993CE9" w:rsidRPr="00216509" w:rsidRDefault="00993CE9" w:rsidP="00993CE9">
      <w:pPr>
        <w:spacing w:after="200" w:line="276" w:lineRule="auto"/>
        <w:rPr>
          <w:rFonts w:ascii="Calibri" w:eastAsia="Calibri" w:hAnsi="Calibri" w:cs="Times New Roman"/>
          <w:b/>
          <w:sz w:val="32"/>
          <w:szCs w:val="32"/>
        </w:rPr>
      </w:pPr>
      <w:r w:rsidRPr="00216509">
        <w:rPr>
          <w:rFonts w:ascii="Calibri" w:eastAsia="Calibri" w:hAnsi="Calibri" w:cs="Times New Roman"/>
          <w:sz w:val="28"/>
          <w:szCs w:val="28"/>
        </w:rPr>
        <w:t>In a dyslexia friendly school good communication between the staff and parents/carers is essential for a child centred approach to dyslexia.   Parents and carers will have an identified member of staff to communicate with regarding their concerns, and families should be kept informed of difficulties, support in place and progress made. It is, therefore, a priority for schools and settings to establish an effective partnership which promotes parental communication and encourages engagement.</w:t>
      </w:r>
    </w:p>
    <w:p w:rsidR="00993CE9" w:rsidRPr="00216509" w:rsidRDefault="00993CE9" w:rsidP="00993CE9">
      <w:pPr>
        <w:spacing w:after="227" w:line="276" w:lineRule="auto"/>
        <w:ind w:left="10" w:right="67"/>
        <w:rPr>
          <w:rFonts w:ascii="Calibri" w:eastAsia="Calibri" w:hAnsi="Calibri" w:cs="Times New Roman"/>
          <w:b/>
          <w:sz w:val="32"/>
          <w:szCs w:val="32"/>
        </w:rPr>
      </w:pPr>
    </w:p>
    <w:p w:rsidR="00993CE9" w:rsidRPr="00216509" w:rsidRDefault="00993CE9" w:rsidP="00993CE9">
      <w:pPr>
        <w:spacing w:after="200" w:line="276" w:lineRule="auto"/>
        <w:rPr>
          <w:rFonts w:ascii="Calibri" w:eastAsia="Calibri" w:hAnsi="Calibri" w:cs="Times New Roman"/>
        </w:rPr>
      </w:pPr>
    </w:p>
    <w:p w:rsidR="00993CE9" w:rsidRPr="00216509" w:rsidRDefault="00993CE9" w:rsidP="00993CE9">
      <w:pPr>
        <w:spacing w:after="200" w:line="276" w:lineRule="auto"/>
        <w:rPr>
          <w:rFonts w:ascii="Calibri" w:eastAsia="Calibri" w:hAnsi="Calibri" w:cs="Times New Roman"/>
        </w:rPr>
      </w:pPr>
    </w:p>
    <w:p w:rsidR="00993CE9" w:rsidRPr="00216509" w:rsidRDefault="00993CE9" w:rsidP="00993CE9">
      <w:pPr>
        <w:spacing w:after="200" w:line="276" w:lineRule="auto"/>
        <w:rPr>
          <w:rFonts w:ascii="Calibri" w:eastAsia="Calibri" w:hAnsi="Calibri" w:cs="Times New Roman"/>
        </w:rPr>
        <w:sectPr w:rsidR="00993CE9" w:rsidRPr="00216509" w:rsidSect="007D55EC">
          <w:headerReference w:type="default" r:id="rId7"/>
          <w:footerReference w:type="default" r:id="rId8"/>
          <w:pgSz w:w="11906" w:h="16838"/>
          <w:pgMar w:top="1440" w:right="851" w:bottom="1440" w:left="1276" w:header="283" w:footer="720" w:gutter="0"/>
          <w:pgNumType w:start="1"/>
          <w:cols w:space="720"/>
          <w:docGrid w:linePitch="299"/>
        </w:sectPr>
      </w:pPr>
    </w:p>
    <w:p w:rsidR="00993CE9" w:rsidRPr="00216509" w:rsidRDefault="00993CE9" w:rsidP="00993CE9">
      <w:pPr>
        <w:spacing w:after="0" w:line="276" w:lineRule="auto"/>
        <w:jc w:val="center"/>
        <w:rPr>
          <w:rFonts w:ascii="Arial" w:eastAsia="Arial" w:hAnsi="Arial" w:cs="Arial"/>
          <w:sz w:val="32"/>
          <w:szCs w:val="32"/>
        </w:rPr>
      </w:pPr>
      <w:r w:rsidRPr="00216509">
        <w:rPr>
          <w:rFonts w:ascii="Calibri" w:eastAsia="Arial" w:hAnsi="Calibri" w:cs="Arial"/>
          <w:b/>
          <w:sz w:val="36"/>
          <w:szCs w:val="36"/>
        </w:rPr>
        <w:lastRenderedPageBreak/>
        <w:t>Standard 6: Working with Parents and Carers</w:t>
      </w:r>
    </w:p>
    <w:tbl>
      <w:tblPr>
        <w:tblW w:w="148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540"/>
        <w:gridCol w:w="4110"/>
        <w:gridCol w:w="990"/>
        <w:gridCol w:w="5520"/>
      </w:tblGrid>
      <w:tr w:rsidR="00993CE9" w:rsidRPr="00216509" w:rsidTr="00F35463">
        <w:trPr>
          <w:trHeight w:val="480"/>
        </w:trPr>
        <w:tc>
          <w:tcPr>
            <w:tcW w:w="4245" w:type="dxa"/>
            <w:gridSpan w:val="2"/>
            <w:vAlign w:val="center"/>
          </w:tcPr>
          <w:p w:rsidR="00993CE9" w:rsidRPr="00216509" w:rsidRDefault="00993CE9" w:rsidP="00F35463">
            <w:pPr>
              <w:spacing w:after="0" w:line="276" w:lineRule="auto"/>
              <w:jc w:val="center"/>
              <w:rPr>
                <w:rFonts w:ascii="Calibri" w:eastAsia="Verdana" w:hAnsi="Calibri" w:cs="Verdana"/>
                <w:b/>
                <w:sz w:val="28"/>
                <w:szCs w:val="28"/>
              </w:rPr>
            </w:pPr>
            <w:r w:rsidRPr="00216509">
              <w:rPr>
                <w:rFonts w:ascii="Calibri" w:eastAsia="Verdana" w:hAnsi="Calibri" w:cs="Verdana"/>
                <w:b/>
                <w:sz w:val="28"/>
                <w:szCs w:val="28"/>
              </w:rPr>
              <w:t>Description of Standard</w:t>
            </w:r>
          </w:p>
        </w:tc>
        <w:tc>
          <w:tcPr>
            <w:tcW w:w="4110" w:type="dxa"/>
            <w:vAlign w:val="center"/>
          </w:tcPr>
          <w:p w:rsidR="00993CE9" w:rsidRPr="00216509" w:rsidRDefault="00993CE9" w:rsidP="00F35463">
            <w:pPr>
              <w:keepNext/>
              <w:keepLines/>
              <w:spacing w:before="200" w:after="0" w:line="276" w:lineRule="auto"/>
              <w:outlineLvl w:val="1"/>
              <w:rPr>
                <w:rFonts w:ascii="Calibri" w:eastAsia="Verdana" w:hAnsi="Calibri" w:cs="Verdana"/>
                <w:b/>
                <w:bCs/>
                <w:color w:val="4F81BD"/>
                <w:sz w:val="28"/>
                <w:szCs w:val="28"/>
              </w:rPr>
            </w:pPr>
            <w:r w:rsidRPr="00216509">
              <w:rPr>
                <w:rFonts w:ascii="Calibri" w:eastAsia="Verdana" w:hAnsi="Calibri" w:cs="Verdana"/>
                <w:b/>
                <w:bCs/>
                <w:sz w:val="28"/>
                <w:szCs w:val="28"/>
              </w:rPr>
              <w:t>Suggestions for Evidence and Resources</w:t>
            </w:r>
          </w:p>
        </w:tc>
        <w:tc>
          <w:tcPr>
            <w:tcW w:w="990" w:type="dxa"/>
          </w:tcPr>
          <w:p w:rsidR="00993CE9" w:rsidRPr="00216509" w:rsidRDefault="00993CE9" w:rsidP="00F35463">
            <w:pPr>
              <w:spacing w:after="0" w:line="240" w:lineRule="auto"/>
              <w:jc w:val="center"/>
              <w:rPr>
                <w:rFonts w:ascii="Calibri" w:eastAsia="Verdana" w:hAnsi="Calibri" w:cs="Verdana"/>
                <w:b/>
                <w:sz w:val="28"/>
                <w:szCs w:val="28"/>
              </w:rPr>
            </w:pPr>
            <w:r w:rsidRPr="00216509">
              <w:rPr>
                <w:rFonts w:ascii="Calibri" w:eastAsia="Verdana" w:hAnsi="Calibri" w:cs="Verdana"/>
                <w:b/>
                <w:sz w:val="28"/>
                <w:szCs w:val="28"/>
              </w:rPr>
              <w:t xml:space="preserve">Yes </w:t>
            </w:r>
            <w:r w:rsidRPr="00216509">
              <w:rPr>
                <w:rFonts w:ascii="Wingdings" w:eastAsia="Wingdings" w:hAnsi="Wingdings" w:cs="Wingdings"/>
                <w:b/>
                <w:sz w:val="28"/>
                <w:szCs w:val="28"/>
              </w:rPr>
              <w:t></w:t>
            </w:r>
            <w:r w:rsidRPr="00216509">
              <w:rPr>
                <w:rFonts w:ascii="Calibri" w:eastAsia="Verdana" w:hAnsi="Calibri" w:cs="Verdana"/>
                <w:b/>
                <w:sz w:val="28"/>
                <w:szCs w:val="28"/>
              </w:rPr>
              <w:t xml:space="preserve"> </w:t>
            </w:r>
          </w:p>
          <w:p w:rsidR="00993CE9" w:rsidRPr="00216509" w:rsidRDefault="00993CE9" w:rsidP="00F35463">
            <w:pPr>
              <w:spacing w:after="0" w:line="240" w:lineRule="auto"/>
              <w:jc w:val="center"/>
              <w:rPr>
                <w:rFonts w:ascii="Calibri" w:eastAsia="Verdana" w:hAnsi="Calibri" w:cs="Verdana"/>
                <w:b/>
                <w:sz w:val="28"/>
                <w:szCs w:val="28"/>
              </w:rPr>
            </w:pPr>
            <w:r w:rsidRPr="00216509">
              <w:rPr>
                <w:rFonts w:ascii="Calibri" w:eastAsia="Verdana" w:hAnsi="Calibri" w:cs="Verdana"/>
                <w:b/>
                <w:sz w:val="28"/>
                <w:szCs w:val="28"/>
              </w:rPr>
              <w:t>Date</w:t>
            </w:r>
          </w:p>
        </w:tc>
        <w:tc>
          <w:tcPr>
            <w:tcW w:w="5520" w:type="dxa"/>
            <w:vAlign w:val="center"/>
          </w:tcPr>
          <w:p w:rsidR="00993CE9" w:rsidRPr="00216509" w:rsidRDefault="00993CE9" w:rsidP="00F35463">
            <w:pPr>
              <w:spacing w:after="0" w:line="276" w:lineRule="auto"/>
              <w:jc w:val="center"/>
              <w:rPr>
                <w:rFonts w:ascii="Calibri" w:eastAsia="Verdana" w:hAnsi="Calibri" w:cs="Verdana"/>
                <w:b/>
                <w:sz w:val="28"/>
                <w:szCs w:val="28"/>
              </w:rPr>
            </w:pPr>
            <w:r w:rsidRPr="00216509">
              <w:rPr>
                <w:rFonts w:ascii="Calibri" w:eastAsia="Verdana" w:hAnsi="Calibri" w:cs="Verdana"/>
                <w:b/>
                <w:sz w:val="28"/>
                <w:szCs w:val="28"/>
              </w:rPr>
              <w:t>Evidence Observed</w:t>
            </w:r>
          </w:p>
        </w:tc>
      </w:tr>
      <w:tr w:rsidR="00993CE9" w:rsidRPr="00216509" w:rsidTr="00F35463">
        <w:trPr>
          <w:trHeight w:val="200"/>
        </w:trPr>
        <w:tc>
          <w:tcPr>
            <w:tcW w:w="705" w:type="dxa"/>
            <w:shd w:val="clear" w:color="auto" w:fill="B8CCE4"/>
          </w:tcPr>
          <w:p w:rsidR="00993CE9" w:rsidRPr="00216509" w:rsidRDefault="00993CE9" w:rsidP="00F35463">
            <w:pPr>
              <w:spacing w:after="0" w:line="240" w:lineRule="auto"/>
              <w:rPr>
                <w:rFonts w:ascii="Calibri" w:eastAsia="Verdana" w:hAnsi="Calibri" w:cs="Verdana"/>
                <w:b/>
                <w:sz w:val="24"/>
                <w:szCs w:val="24"/>
              </w:rPr>
            </w:pPr>
            <w:r w:rsidRPr="00216509">
              <w:rPr>
                <w:rFonts w:ascii="Calibri" w:eastAsia="Verdana" w:hAnsi="Calibri" w:cs="Verdana"/>
                <w:b/>
                <w:sz w:val="24"/>
                <w:szCs w:val="24"/>
              </w:rPr>
              <w:t>6.</w:t>
            </w:r>
          </w:p>
        </w:tc>
        <w:tc>
          <w:tcPr>
            <w:tcW w:w="3540" w:type="dxa"/>
            <w:shd w:val="clear" w:color="auto" w:fill="B8CCE4"/>
          </w:tcPr>
          <w:p w:rsidR="00993CE9" w:rsidRPr="00216509" w:rsidRDefault="00993CE9" w:rsidP="00F35463">
            <w:pPr>
              <w:spacing w:after="0" w:line="240" w:lineRule="auto"/>
              <w:rPr>
                <w:rFonts w:ascii="Calibri" w:eastAsia="Verdana" w:hAnsi="Calibri" w:cs="Verdana"/>
                <w:sz w:val="28"/>
                <w:szCs w:val="28"/>
              </w:rPr>
            </w:pPr>
            <w:r w:rsidRPr="00216509">
              <w:rPr>
                <w:rFonts w:ascii="Calibri" w:eastAsia="Verdana" w:hAnsi="Calibri" w:cs="Verdana"/>
                <w:b/>
                <w:sz w:val="28"/>
                <w:szCs w:val="28"/>
              </w:rPr>
              <w:t>Working with Parent and Carers</w:t>
            </w:r>
          </w:p>
        </w:tc>
        <w:tc>
          <w:tcPr>
            <w:tcW w:w="4110" w:type="dxa"/>
            <w:shd w:val="clear" w:color="auto" w:fill="B8CCE4"/>
          </w:tcPr>
          <w:p w:rsidR="00993CE9" w:rsidRPr="00216509" w:rsidRDefault="00993CE9" w:rsidP="00F35463">
            <w:pPr>
              <w:spacing w:after="200" w:line="276" w:lineRule="auto"/>
              <w:rPr>
                <w:rFonts w:ascii="Verdana" w:eastAsia="Verdana" w:hAnsi="Verdana" w:cs="Verdana"/>
                <w:sz w:val="28"/>
                <w:szCs w:val="28"/>
              </w:rPr>
            </w:pPr>
          </w:p>
        </w:tc>
        <w:tc>
          <w:tcPr>
            <w:tcW w:w="990" w:type="dxa"/>
            <w:shd w:val="clear" w:color="auto" w:fill="B8CCE4"/>
          </w:tcPr>
          <w:p w:rsidR="00993CE9" w:rsidRPr="00216509" w:rsidRDefault="00993CE9" w:rsidP="00F35463">
            <w:pPr>
              <w:spacing w:after="200" w:line="276" w:lineRule="auto"/>
              <w:rPr>
                <w:rFonts w:ascii="Verdana" w:eastAsia="Verdana" w:hAnsi="Verdana" w:cs="Verdana"/>
                <w:sz w:val="28"/>
                <w:szCs w:val="28"/>
              </w:rPr>
            </w:pPr>
          </w:p>
        </w:tc>
        <w:tc>
          <w:tcPr>
            <w:tcW w:w="5520" w:type="dxa"/>
            <w:shd w:val="clear" w:color="auto" w:fill="B8CCE4"/>
          </w:tcPr>
          <w:p w:rsidR="00993CE9" w:rsidRPr="00216509" w:rsidRDefault="00993CE9" w:rsidP="00F35463">
            <w:pPr>
              <w:spacing w:after="200" w:line="276" w:lineRule="auto"/>
              <w:rPr>
                <w:rFonts w:ascii="Verdana" w:eastAsia="Verdana" w:hAnsi="Verdana" w:cs="Verdana"/>
                <w:sz w:val="28"/>
                <w:szCs w:val="28"/>
              </w:rPr>
            </w:pPr>
          </w:p>
        </w:tc>
      </w:tr>
      <w:tr w:rsidR="00993CE9" w:rsidRPr="00216509" w:rsidTr="00F35463">
        <w:trPr>
          <w:trHeight w:val="82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6.1</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 xml:space="preserve">Parent/carer comments and concerns are treated seriously, logged, and acted upon. </w:t>
            </w:r>
          </w:p>
          <w:p w:rsidR="00993CE9" w:rsidRPr="00216509" w:rsidRDefault="00993CE9" w:rsidP="00F35463">
            <w:pPr>
              <w:spacing w:after="200" w:line="276" w:lineRule="auto"/>
              <w:rPr>
                <w:rFonts w:ascii="Calibri" w:eastAsia="Verdana" w:hAnsi="Calibri" w:cs="Verdana"/>
                <w:sz w:val="24"/>
                <w:szCs w:val="24"/>
              </w:rPr>
            </w:pP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Notes of meetings/conversations</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6.2</w:t>
            </w:r>
          </w:p>
          <w:p w:rsidR="00993CE9" w:rsidRPr="00216509" w:rsidRDefault="00993CE9" w:rsidP="00F35463">
            <w:pPr>
              <w:spacing w:after="200" w:line="276" w:lineRule="auto"/>
              <w:rPr>
                <w:rFonts w:ascii="Calibri" w:eastAsia="Verdana" w:hAnsi="Calibri" w:cs="Verdana"/>
                <w:sz w:val="24"/>
                <w:szCs w:val="24"/>
              </w:rPr>
            </w:pPr>
          </w:p>
          <w:p w:rsidR="00993CE9" w:rsidRPr="00216509" w:rsidRDefault="00993CE9" w:rsidP="00F35463">
            <w:pPr>
              <w:spacing w:after="200" w:line="276" w:lineRule="auto"/>
              <w:rPr>
                <w:rFonts w:ascii="Calibri" w:eastAsia="Verdana" w:hAnsi="Calibri" w:cs="Verdana"/>
                <w:b/>
                <w:bCs/>
                <w:color w:val="2F5496" w:themeColor="accent1" w:themeShade="BF"/>
                <w:sz w:val="24"/>
                <w:szCs w:val="24"/>
              </w:rPr>
            </w:pPr>
            <w:r w:rsidRPr="3E0D5D21">
              <w:rPr>
                <w:rFonts w:ascii="Calibri" w:eastAsia="Verdana" w:hAnsi="Calibri" w:cs="Verdana"/>
                <w:b/>
                <w:bCs/>
                <w:color w:val="2F5496" w:themeColor="accent1" w:themeShade="BF"/>
                <w:sz w:val="24"/>
                <w:szCs w:val="24"/>
              </w:rPr>
              <w:t>also 2.4</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A parent/school partnership approach is taken in addressing parental concerns around pupil progress and identification of dyslexia.</w:t>
            </w: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 xml:space="preserve">Reference within dyslexia friendly policy </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Evidence of parent meeting records</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Parent/school correspondence, emails, notes of telephone conversations</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6.3</w:t>
            </w:r>
          </w:p>
          <w:p w:rsidR="00993CE9" w:rsidRPr="00216509" w:rsidRDefault="00993CE9" w:rsidP="00F35463">
            <w:pPr>
              <w:spacing w:after="200" w:line="276" w:lineRule="auto"/>
              <w:rPr>
                <w:rFonts w:ascii="Calibri" w:eastAsia="Verdana" w:hAnsi="Calibri" w:cs="Verdana"/>
                <w:sz w:val="24"/>
                <w:szCs w:val="24"/>
              </w:rPr>
            </w:pPr>
          </w:p>
          <w:p w:rsidR="00993CE9" w:rsidRPr="00216509" w:rsidRDefault="00993CE9" w:rsidP="00F35463">
            <w:pPr>
              <w:spacing w:after="200" w:line="276" w:lineRule="auto"/>
              <w:rPr>
                <w:rFonts w:ascii="Calibri" w:eastAsia="Verdana" w:hAnsi="Calibri" w:cs="Verdana"/>
                <w:sz w:val="24"/>
                <w:szCs w:val="24"/>
              </w:rPr>
            </w:pPr>
          </w:p>
          <w:p w:rsidR="00993CE9" w:rsidRPr="00216509" w:rsidRDefault="00993CE9" w:rsidP="00F35463">
            <w:pPr>
              <w:spacing w:after="200" w:line="276" w:lineRule="auto"/>
              <w:rPr>
                <w:rFonts w:ascii="Calibri" w:eastAsia="Verdana" w:hAnsi="Calibri" w:cs="Verdana"/>
                <w:sz w:val="24"/>
                <w:szCs w:val="24"/>
              </w:rPr>
            </w:pP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Parent/carer dyslexia information leaflets are readily accessible as are details of local support groups/voluntary agencies and other services where available.</w:t>
            </w: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 xml:space="preserve">Examples of leaflets/information </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Photograph of display board</w:t>
            </w:r>
          </w:p>
          <w:p w:rsidR="00993CE9" w:rsidRPr="00216509" w:rsidRDefault="00993CE9" w:rsidP="00F35463">
            <w:pPr>
              <w:spacing w:after="200" w:line="276" w:lineRule="auto"/>
              <w:rPr>
                <w:rFonts w:ascii="Calibri" w:eastAsia="Verdana" w:hAnsi="Calibri" w:cs="Verdana"/>
                <w:sz w:val="24"/>
                <w:szCs w:val="24"/>
              </w:rPr>
            </w:pP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lastRenderedPageBreak/>
              <w:t>6.4</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Parent/carer information events or relevant workshops are provided.</w:t>
            </w: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Details of events</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Photographic evidence</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6.5</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Parents are aware of key personnel within the school related to dyslexia support.</w:t>
            </w:r>
          </w:p>
          <w:p w:rsidR="00993CE9" w:rsidRPr="00216509" w:rsidRDefault="00993CE9" w:rsidP="00F35463">
            <w:pPr>
              <w:spacing w:after="200" w:line="276" w:lineRule="auto"/>
              <w:rPr>
                <w:rFonts w:ascii="Calibri" w:eastAsia="Verdana" w:hAnsi="Calibri" w:cs="Verdana"/>
                <w:sz w:val="24"/>
                <w:szCs w:val="24"/>
              </w:rPr>
            </w:pPr>
          </w:p>
        </w:tc>
        <w:tc>
          <w:tcPr>
            <w:tcW w:w="4110" w:type="dxa"/>
          </w:tcPr>
          <w:p w:rsidR="00993CE9" w:rsidRPr="00216509" w:rsidRDefault="00993CE9" w:rsidP="00F35463">
            <w:pPr>
              <w:spacing w:after="200" w:line="276" w:lineRule="auto"/>
              <w:rPr>
                <w:rFonts w:ascii="Calibri" w:eastAsia="Verdana" w:hAnsi="Calibri" w:cs="Verdana"/>
                <w:sz w:val="24"/>
                <w:szCs w:val="24"/>
              </w:rPr>
            </w:pPr>
            <w:r w:rsidRPr="3E0D5D21">
              <w:rPr>
                <w:rFonts w:ascii="Calibri" w:eastAsia="Verdana" w:hAnsi="Calibri" w:cs="Verdana"/>
                <w:sz w:val="24"/>
                <w:szCs w:val="24"/>
              </w:rPr>
              <w:t>Key personnel e.g. SENCO, Governor, Dyslexia Champion named on policy, school website</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 xml:space="preserve">Correspondence to parents </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5.6</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Parents/carers are aware of the Assess, Plan, Do, Review process and are involved in termly reviews and target setting.</w:t>
            </w: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Example of review meeting notes/paperwork</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Completed reviewed Pupil Learning Plans</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r w:rsidR="00993CE9" w:rsidRPr="00216509" w:rsidTr="00F35463">
        <w:trPr>
          <w:trHeight w:val="1960"/>
        </w:trPr>
        <w:tc>
          <w:tcPr>
            <w:tcW w:w="705"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6.7</w:t>
            </w:r>
          </w:p>
        </w:tc>
        <w:tc>
          <w:tcPr>
            <w:tcW w:w="354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Communications with parents/carers are dyslexia friendly.</w:t>
            </w:r>
          </w:p>
        </w:tc>
        <w:tc>
          <w:tcPr>
            <w:tcW w:w="4110" w:type="dxa"/>
          </w:tcPr>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 xml:space="preserve">Examples of different options provided for parents to access text based materials such as texts, telephone calls, letters on website, face to face meetings  </w:t>
            </w:r>
          </w:p>
          <w:p w:rsidR="00993CE9" w:rsidRPr="00216509" w:rsidRDefault="00993CE9" w:rsidP="00F35463">
            <w:pPr>
              <w:spacing w:after="200" w:line="276" w:lineRule="auto"/>
              <w:rPr>
                <w:rFonts w:ascii="Calibri" w:eastAsia="Verdana" w:hAnsi="Calibri" w:cs="Verdana"/>
                <w:sz w:val="24"/>
                <w:szCs w:val="24"/>
              </w:rPr>
            </w:pPr>
            <w:r w:rsidRPr="00216509">
              <w:rPr>
                <w:rFonts w:ascii="Calibri" w:eastAsia="Verdana" w:hAnsi="Calibri" w:cs="Verdana"/>
                <w:sz w:val="24"/>
                <w:szCs w:val="24"/>
              </w:rPr>
              <w:t>Evidence of following DF print/layout guidelines</w:t>
            </w:r>
          </w:p>
        </w:tc>
        <w:tc>
          <w:tcPr>
            <w:tcW w:w="990" w:type="dxa"/>
          </w:tcPr>
          <w:p w:rsidR="00993CE9" w:rsidRPr="00216509" w:rsidRDefault="00993CE9" w:rsidP="00F35463">
            <w:pPr>
              <w:spacing w:after="200" w:line="276" w:lineRule="auto"/>
              <w:rPr>
                <w:rFonts w:ascii="Calibri" w:eastAsia="Verdana" w:hAnsi="Calibri" w:cs="Verdana"/>
                <w:sz w:val="24"/>
                <w:szCs w:val="24"/>
              </w:rPr>
            </w:pPr>
          </w:p>
        </w:tc>
        <w:tc>
          <w:tcPr>
            <w:tcW w:w="5520" w:type="dxa"/>
          </w:tcPr>
          <w:p w:rsidR="00993CE9" w:rsidRPr="00216509" w:rsidRDefault="00993CE9" w:rsidP="00F35463">
            <w:pPr>
              <w:spacing w:after="200" w:line="276" w:lineRule="auto"/>
              <w:rPr>
                <w:rFonts w:ascii="Calibri" w:eastAsia="Verdana" w:hAnsi="Calibri" w:cs="Verdana"/>
                <w:sz w:val="24"/>
                <w:szCs w:val="24"/>
              </w:rPr>
            </w:pPr>
          </w:p>
        </w:tc>
      </w:tr>
    </w:tbl>
    <w:p w:rsidR="00F26DCD" w:rsidRDefault="00F26DCD" w:rsidP="00F70B5F">
      <w:pPr>
        <w:tabs>
          <w:tab w:val="left" w:pos="1120"/>
        </w:tabs>
      </w:pPr>
      <w:bookmarkStart w:id="0" w:name="_GoBack"/>
      <w:bookmarkEnd w:id="0"/>
    </w:p>
    <w:sectPr w:rsidR="00F26DCD" w:rsidSect="00993CE9">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805" w:rsidRDefault="00A34805" w:rsidP="0090489D">
      <w:pPr>
        <w:spacing w:after="0" w:line="240" w:lineRule="auto"/>
      </w:pPr>
      <w:r>
        <w:separator/>
      </w:r>
    </w:p>
  </w:endnote>
  <w:endnote w:type="continuationSeparator" w:id="0">
    <w:p w:rsidR="00A34805" w:rsidRDefault="00A34805" w:rsidP="009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E9" w:rsidRDefault="00993CE9">
    <w:pPr>
      <w:pStyle w:val="Footer"/>
    </w:pPr>
    <w:r w:rsidRPr="00EC44A2">
      <w:rPr>
        <w:b/>
        <w:noProof/>
        <w:sz w:val="28"/>
        <w:szCs w:val="28"/>
        <w:lang w:eastAsia="en-GB"/>
      </w:rPr>
      <w:drawing>
        <wp:anchor distT="0" distB="0" distL="114300" distR="114300" simplePos="0" relativeHeight="251663360" behindDoc="0" locked="0" layoutInCell="1" allowOverlap="1" wp14:anchorId="56BED30B" wp14:editId="71B325A2">
          <wp:simplePos x="0" y="0"/>
          <wp:positionH relativeFrom="margin">
            <wp:align>right</wp:align>
          </wp:positionH>
          <wp:positionV relativeFrom="margin">
            <wp:posOffset>9151735</wp:posOffset>
          </wp:positionV>
          <wp:extent cx="1285875" cy="2952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CC0F5F">
      <w:rPr>
        <w:noProof/>
        <w:lang w:eastAsia="en-GB"/>
      </w:rPr>
      <w:drawing>
        <wp:anchor distT="0" distB="0" distL="114300" distR="114300" simplePos="0" relativeHeight="251662336" behindDoc="0" locked="0" layoutInCell="1" allowOverlap="1" wp14:anchorId="00B7B37D" wp14:editId="226D6ACC">
          <wp:simplePos x="0" y="0"/>
          <wp:positionH relativeFrom="column">
            <wp:posOffset>0</wp:posOffset>
          </wp:positionH>
          <wp:positionV relativeFrom="paragraph">
            <wp:posOffset>0</wp:posOffset>
          </wp:positionV>
          <wp:extent cx="1428750" cy="3714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37147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9D" w:rsidRDefault="0090489D" w:rsidP="0090489D">
    <w:pPr>
      <w:pStyle w:val="Footer"/>
      <w:jc w:val="both"/>
    </w:pPr>
    <w:r w:rsidRPr="00CC0F5F">
      <w:rPr>
        <w:noProof/>
        <w:lang w:eastAsia="en-GB"/>
      </w:rPr>
      <w:drawing>
        <wp:inline distT="0" distB="0" distL="0" distR="0" wp14:anchorId="0F0ADB5F" wp14:editId="2E8E8150">
          <wp:extent cx="142875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6866" cy="370985"/>
                  </a:xfrm>
                  <a:prstGeom prst="rect">
                    <a:avLst/>
                  </a:prstGeom>
                </pic:spPr>
              </pic:pic>
            </a:graphicData>
          </a:graphic>
        </wp:inline>
      </w:drawing>
    </w:r>
    <w:r w:rsidRPr="00EC44A2">
      <w:rPr>
        <w:b/>
        <w:noProof/>
        <w:sz w:val="28"/>
        <w:szCs w:val="28"/>
        <w:lang w:eastAsia="en-GB"/>
      </w:rPr>
      <w:drawing>
        <wp:anchor distT="0" distB="0" distL="114300" distR="114300" simplePos="0" relativeHeight="251659264" behindDoc="0" locked="0" layoutInCell="1" allowOverlap="1" wp14:anchorId="5B5BDAB0" wp14:editId="6DE16B79">
          <wp:simplePos x="0" y="0"/>
          <wp:positionH relativeFrom="margin">
            <wp:align>right</wp:align>
          </wp:positionH>
          <wp:positionV relativeFrom="margin">
            <wp:posOffset>9018905</wp:posOffset>
          </wp:positionV>
          <wp:extent cx="1285875" cy="295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rsidRPr="00EC44A2">
      <w:rPr>
        <w:b/>
        <w:noProof/>
        <w:sz w:val="28"/>
        <w:szCs w:val="28"/>
        <w:lang w:eastAsia="en-GB"/>
      </w:rPr>
      <w:drawing>
        <wp:anchor distT="0" distB="0" distL="114300" distR="114300" simplePos="0" relativeHeight="251660288" behindDoc="0" locked="0" layoutInCell="1" allowOverlap="1" wp14:anchorId="7BE5037B" wp14:editId="1BC36FB6">
          <wp:simplePos x="0" y="0"/>
          <wp:positionH relativeFrom="margin">
            <wp:posOffset>7947660</wp:posOffset>
          </wp:positionH>
          <wp:positionV relativeFrom="margin">
            <wp:posOffset>6209665</wp:posOffset>
          </wp:positionV>
          <wp:extent cx="1285875" cy="295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805" w:rsidRDefault="00A34805" w:rsidP="0090489D">
      <w:pPr>
        <w:spacing w:after="0" w:line="240" w:lineRule="auto"/>
      </w:pPr>
      <w:r>
        <w:separator/>
      </w:r>
    </w:p>
  </w:footnote>
  <w:footnote w:type="continuationSeparator" w:id="0">
    <w:p w:rsidR="00A34805" w:rsidRDefault="00A34805" w:rsidP="0090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Times New Roman" w:hAnsi="Cambria" w:cs="Times New Roman"/>
        <w:b/>
        <w:color w:val="17365D"/>
        <w:spacing w:val="5"/>
        <w:kern w:val="28"/>
        <w:sz w:val="28"/>
        <w:szCs w:val="28"/>
      </w:rPr>
      <w:alias w:val="Subtitle"/>
      <w:id w:val="872801770"/>
      <w:dataBinding w:prefixMappings="xmlns:ns0='http://schemas.openxmlformats.org/package/2006/metadata/core-properties' xmlns:ns1='http://purl.org/dc/elements/1.1/'" w:xpath="/ns0:coreProperties[1]/ns1:subject[1]" w:storeItemID="{6C3C8BC8-F283-45AE-878A-BAB7291924A1}"/>
      <w:text/>
    </w:sdtPr>
    <w:sdtContent>
      <w:p w:rsidR="00993CE9" w:rsidRPr="00BE14EB" w:rsidRDefault="00993CE9" w:rsidP="007D55EC">
        <w:pPr>
          <w:pBdr>
            <w:bottom w:val="single" w:sz="8" w:space="4" w:color="4F81BD"/>
          </w:pBdr>
          <w:spacing w:after="300" w:line="240" w:lineRule="auto"/>
          <w:contextualSpacing/>
          <w:jc w:val="center"/>
          <w:rPr>
            <w:rFonts w:ascii="Calibri" w:eastAsia="Calibri" w:hAnsi="Calibri" w:cs="Times New Roman"/>
            <w:b/>
            <w:sz w:val="28"/>
            <w:szCs w:val="28"/>
          </w:rPr>
        </w:pPr>
        <w:r>
          <w:rPr>
            <w:rFonts w:ascii="Cambria" w:eastAsia="Times New Roman" w:hAnsi="Cambria" w:cs="Times New Roman"/>
            <w:b/>
            <w:color w:val="17365D"/>
            <w:spacing w:val="5"/>
            <w:kern w:val="28"/>
            <w:sz w:val="28"/>
            <w:szCs w:val="28"/>
          </w:rPr>
          <w:t>Norfolk Dyslexia Friendly School Quality Mark Award</w:t>
        </w:r>
      </w:p>
    </w:sdtContent>
  </w:sdt>
  <w:p w:rsidR="00993CE9" w:rsidRPr="00BE14EB" w:rsidRDefault="00993CE9" w:rsidP="007D55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8"/>
        <w:szCs w:val="28"/>
      </w:rPr>
      <w:alias w:val="Subtitle"/>
      <w:id w:val="1181700740"/>
      <w:dataBinding w:prefixMappings="xmlns:ns0='http://schemas.openxmlformats.org/package/2006/metadata/core-properties' xmlns:ns1='http://purl.org/dc/elements/1.1/'" w:xpath="/ns0:coreProperties[1]/ns1:subject[1]" w:storeItemID="{6C3C8BC8-F283-45AE-878A-BAB7291924A1}"/>
      <w:text/>
    </w:sdtPr>
    <w:sdtContent>
      <w:p w:rsidR="0090489D" w:rsidRPr="004E42F1" w:rsidRDefault="0090489D" w:rsidP="0090489D">
        <w:pPr>
          <w:pStyle w:val="Title"/>
          <w:jc w:val="center"/>
          <w:rPr>
            <w:rFonts w:asciiTheme="minorHAnsi" w:eastAsiaTheme="minorHAnsi" w:hAnsiTheme="minorHAnsi" w:cstheme="minorBidi"/>
            <w:b/>
            <w:spacing w:val="0"/>
            <w:kern w:val="0"/>
            <w:sz w:val="28"/>
            <w:szCs w:val="28"/>
          </w:rPr>
        </w:pPr>
        <w:r w:rsidRPr="00511F99">
          <w:rPr>
            <w:b/>
            <w:sz w:val="28"/>
            <w:szCs w:val="28"/>
          </w:rPr>
          <w:t>Norfolk Dyslexia Friendly School Quality Mark Award</w:t>
        </w:r>
      </w:p>
    </w:sdtContent>
  </w:sdt>
  <w:p w:rsidR="0090489D" w:rsidRDefault="009048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2069"/>
    <w:multiLevelType w:val="hybridMultilevel"/>
    <w:tmpl w:val="0804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51B8F"/>
    <w:multiLevelType w:val="hybridMultilevel"/>
    <w:tmpl w:val="F836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9D"/>
    <w:rsid w:val="0090489D"/>
    <w:rsid w:val="00993CE9"/>
    <w:rsid w:val="00A34805"/>
    <w:rsid w:val="00F26DCD"/>
    <w:rsid w:val="00F7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2038"/>
  <w15:chartTrackingRefBased/>
  <w15:docId w15:val="{32D35E3D-88C9-4BAE-84E2-D11B4724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9D"/>
  </w:style>
  <w:style w:type="paragraph" w:styleId="Footer">
    <w:name w:val="footer"/>
    <w:basedOn w:val="Normal"/>
    <w:link w:val="FooterChar"/>
    <w:uiPriority w:val="99"/>
    <w:unhideWhenUsed/>
    <w:rsid w:val="00904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9D"/>
  </w:style>
  <w:style w:type="paragraph" w:styleId="Title">
    <w:name w:val="Title"/>
    <w:basedOn w:val="Normal"/>
    <w:next w:val="Normal"/>
    <w:link w:val="TitleChar"/>
    <w:uiPriority w:val="10"/>
    <w:qFormat/>
    <w:rsid w:val="00904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Taverham High School</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Norfolk Dyslexia Friendly School Quality Mark Award</dc:subject>
  <dc:creator>Mrs L Bates</dc:creator>
  <cp:keywords/>
  <dc:description/>
  <cp:lastModifiedBy>Mrs L Bates</cp:lastModifiedBy>
  <cp:revision>2</cp:revision>
  <dcterms:created xsi:type="dcterms:W3CDTF">2024-10-22T13:02:00Z</dcterms:created>
  <dcterms:modified xsi:type="dcterms:W3CDTF">2024-10-22T13:02:00Z</dcterms:modified>
</cp:coreProperties>
</file>